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733"/>
        <w:gridCol w:w="643"/>
        <w:gridCol w:w="828"/>
        <w:gridCol w:w="1548"/>
        <w:gridCol w:w="1622"/>
        <w:gridCol w:w="1630"/>
        <w:gridCol w:w="1534"/>
        <w:gridCol w:w="1508"/>
        <w:gridCol w:w="1270"/>
        <w:gridCol w:w="1273"/>
        <w:gridCol w:w="1585"/>
      </w:tblGrid>
      <w:tr w:rsidR="00CB352A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6"/>
                <w:szCs w:val="36"/>
              </w:rPr>
              <w:t xml:space="preserve"> </w:t>
            </w:r>
          </w:p>
        </w:tc>
      </w:tr>
      <w:tr w:rsidR="00CB352A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B352A" w:rsidRDefault="003322E9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6"/>
                <w:szCs w:val="36"/>
              </w:rPr>
              <w:t>（2022年度）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2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改善办学保障条件-北京信息科技大学新校区办公设备及办公家具建设项目二期（新竣工楼配套）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王智勇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87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80187121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0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预算执行率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1069.020000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1069.020000</w:t>
            </w:r>
          </w:p>
        </w:tc>
        <w:tc>
          <w:tcPr>
            <w:tcW w:w="10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1069.020000</w:t>
            </w:r>
          </w:p>
        </w:tc>
        <w:tc>
          <w:tcPr>
            <w:tcW w:w="4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1069.020000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1069.020000</w:t>
            </w:r>
          </w:p>
        </w:tc>
        <w:tc>
          <w:tcPr>
            <w:tcW w:w="10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1069.020000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B352A">
        <w:trPr>
          <w:trHeight w:val="765"/>
        </w:trPr>
        <w:tc>
          <w:tcPr>
            <w:tcW w:w="77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B352A">
        <w:trPr>
          <w:trHeight w:val="765"/>
        </w:trPr>
        <w:tc>
          <w:tcPr>
            <w:tcW w:w="2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2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252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B352A">
        <w:trPr>
          <w:trHeight w:val="28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配合学校主体搬迁的处级家具117套、科级及其它人员家具607套，除家具外，完成上述地点相关办公设备采购工作，包含：一体机195台、台式计算机602台、便携式计算机45台，以及纪委谈话室、信访接待室、大学生活动中心、学生一站式服务大厅、学生心理健康教育中心、财务大厅、教学运行中心等场所中家具设备及办公设备采购。设备购置完毕后，能够满足我校全部教职工的正常办公环境、会议室及日常办公设备的使用要求。提高我校对新校区办公室、会议室及相关场地的家具及办公设备的建设，能够更好的为全校教职工服务，解决教职工的基础硬件条件，保障学校教育教学正常开展，使教职工能够更好的为我校培养更多高质量人才，对新校区的建设起到重大的作用。</w:t>
            </w:r>
          </w:p>
        </w:tc>
        <w:tc>
          <w:tcPr>
            <w:tcW w:w="252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了处级家具117套、科级及其它人员家具607套，以及上述地点相关办公设备的采购工作，包含：一体机195台、台式计算机602台、便携式计算机45台，以及纪委谈话室、信访接待室、大学生活动中心、学生一站式服务大厅、学生心理健康教育中心、财务大厅、教学运行中心等场所中家具设备及办公设备。采购的家具及设备均已投入使用，为本期搬迁的党政机关及经管、信管、计算机、通信四个学院提供了基础支撑条件，保障了搬迁入住新校区后学校教育教学正常开展。</w:t>
            </w:r>
          </w:p>
        </w:tc>
      </w:tr>
      <w:tr w:rsidR="00CB352A">
        <w:trPr>
          <w:trHeight w:val="799"/>
        </w:trPr>
        <w:tc>
          <w:tcPr>
            <w:tcW w:w="2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采购处级家具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申报117套，财政最终审定115套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115套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采购科级及以下家具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申报607套，财政最终审定595套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595套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采购台式计算机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602台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602台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采购打印机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195台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195台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采购便携式计算机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45台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45台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采购纪委谈话室、信访接待室、大学生活动中心、学生一站式服务大厅、学生心理健康教育中心、财务大厅、教学运行中心等场地的办公家具、办公设备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1078台/套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1078台/套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1182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保证本次搬迁人员具有工位及必须的办公设备，保障正常的办公环境，财务大厅、学生一站式服务大厅、教学运行大厅以及纪委谈话室、信访接待室具有能够达到正常接待的使用要求。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投入正常使用 ，满足基本办公需求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党政机关及本期搬迁的四个学院已完成搬迁工作，所采购设备均已投入使用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产品质量达到国家验收合格标准,验收合格率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79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办公家具、办公设备的具体方案设计工作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2022年3月完成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2022年3月已完成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193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项目公开招标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2022年6月完成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2022年9月完成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2022年受疫情影响，采购中心业务周期后延，校园两次封闭管理，导致项目招投标工作延后，最终10月完成了项目全部内容的招标工作。</w:t>
            </w:r>
          </w:p>
        </w:tc>
      </w:tr>
      <w:tr w:rsidR="00CB352A">
        <w:trPr>
          <w:trHeight w:val="193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项目的合同签订，家具及设备的采购到货工作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2022年7-8月完成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2022年12月完成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2022年四季度受疫情影响，各工厂仓库接连封闭，影响了生产及供货周期，经过项目单位多方协调，最终12月完成全部到货及验收工作。</w:t>
            </w:r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完成项目内办公家具、办公设备的到货验收及安装调试工作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2022年8-9月完成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2022年12月完成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1F57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成本在预算合理范围内，合计金额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控制在1376.978000万元以内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实际支出1069.02万元，执行率100%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益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利用新建成的高水平、高质量的办公场地，提高交流频率，为全校师生教学和科研服务，提升学校社会影响力。全年保证在职员工日常使用，业务保障能力提升，学校社会影响力提升。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达到100%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达到100%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节能减排，购置的家具和办公设备采用节能技术和环保设计，不含多种有害有毒物质。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不含有害物质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不含有害物质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1680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可持续发展，办公设备使用寿命年限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达到6年以上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办公设备厂商提供终身维护，且我校办公设备报废期限要求6年以上，因此可确保新购置的设备使用寿命至少达到6年以上。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1F57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支撑性资料不充分</w:t>
            </w:r>
            <w:r w:rsidR="00FA7CF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，后续将加强管理</w:t>
            </w:r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可持续发展，办公家具使用寿命年限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达到10年以上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家具质保期15年，厂家承诺终身维护，可确保使用寿命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FA7C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支撑性资料不充分，后续将加强管理</w:t>
            </w:r>
            <w:bookmarkStart w:id="0" w:name="_GoBack"/>
            <w:bookmarkEnd w:id="0"/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</w:t>
            </w:r>
          </w:p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设备使用率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达到95%以上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达到100%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859"/>
        </w:trPr>
        <w:tc>
          <w:tcPr>
            <w:tcW w:w="2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教职工对办公室、会议室及相关场地办公家具、办公设备设施的产品质量及样式的满意度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达到95%以上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达到95.12%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352A">
        <w:trPr>
          <w:trHeight w:val="582"/>
        </w:trPr>
        <w:tc>
          <w:tcPr>
            <w:tcW w:w="35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52A" w:rsidRDefault="003322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52A" w:rsidRDefault="00CB35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:rsidR="00CB352A" w:rsidRDefault="00CB352A">
      <w:pPr>
        <w:widowControl/>
        <w:spacing w:line="240" w:lineRule="exact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</w:p>
    <w:sectPr w:rsidR="00CB352A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CE3" w:rsidRDefault="00B94CE3">
      <w:r>
        <w:separator/>
      </w:r>
    </w:p>
  </w:endnote>
  <w:endnote w:type="continuationSeparator" w:id="0">
    <w:p w:rsidR="00B94CE3" w:rsidRDefault="00B94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52A" w:rsidRDefault="00CB352A">
    <w:pPr>
      <w:pStyle w:val="a3"/>
    </w:pPr>
  </w:p>
  <w:p w:rsidR="00CB352A" w:rsidRDefault="003322E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352A" w:rsidRDefault="003322E9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A7CFD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B352A" w:rsidRDefault="003322E9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A7CFD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CE3" w:rsidRDefault="00B94CE3">
      <w:r>
        <w:separator/>
      </w:r>
    </w:p>
  </w:footnote>
  <w:footnote w:type="continuationSeparator" w:id="0">
    <w:p w:rsidR="00B94CE3" w:rsidRDefault="00B94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00CB352A"/>
    <w:rsid w:val="001F57E3"/>
    <w:rsid w:val="003322E9"/>
    <w:rsid w:val="00B94CE3"/>
    <w:rsid w:val="00CB352A"/>
    <w:rsid w:val="00FA7CFD"/>
    <w:rsid w:val="094D34B9"/>
    <w:rsid w:val="15E83AD6"/>
    <w:rsid w:val="18880E2A"/>
    <w:rsid w:val="1DDB421D"/>
    <w:rsid w:val="23400748"/>
    <w:rsid w:val="2CAD548B"/>
    <w:rsid w:val="3890173D"/>
    <w:rsid w:val="46E85803"/>
    <w:rsid w:val="4C55031C"/>
    <w:rsid w:val="56171DE6"/>
    <w:rsid w:val="5B8E47EB"/>
    <w:rsid w:val="608B7889"/>
    <w:rsid w:val="61F53E4D"/>
    <w:rsid w:val="6B847FC5"/>
    <w:rsid w:val="7139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C287CF"/>
  <w15:docId w15:val="{89AA6D4C-DB59-4771-874B-23BC36E8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27783</dc:creator>
  <cp:lastModifiedBy>xie sen</cp:lastModifiedBy>
  <cp:revision>3</cp:revision>
  <cp:lastPrinted>2023-05-11T11:16:00Z</cp:lastPrinted>
  <dcterms:created xsi:type="dcterms:W3CDTF">2023-05-10T10:27:00Z</dcterms:created>
  <dcterms:modified xsi:type="dcterms:W3CDTF">2023-05-25T15:30:00Z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E8EF2F2C218B48EA8D5192C0D6A942B6_12</vt:lpwstr>
  </property>
</Properties>
</file>