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4A85" w14:textId="77777777" w:rsidR="002C6C0F" w:rsidRDefault="000C2B94" w:rsidP="002C6C0F">
      <w:pPr>
        <w:adjustRightInd w:val="0"/>
        <w:snapToGrid w:val="0"/>
        <w:spacing w:line="540" w:lineRule="exact"/>
        <w:ind w:left="23"/>
        <w:jc w:val="both"/>
        <w:outlineLvl w:val="0"/>
        <w:rPr>
          <w:rFonts w:ascii="黑体" w:eastAsia="黑体" w:hAnsi="黑体" w:cstheme="minorBidi"/>
          <w:color w:val="auto"/>
          <w:sz w:val="32"/>
          <w:szCs w:val="32"/>
          <w:lang w:val="en-US"/>
        </w:rPr>
      </w:pPr>
      <w:r>
        <w:rPr>
          <w:rFonts w:ascii="黑体" w:eastAsia="黑体" w:hAnsi="黑体" w:cstheme="minorBidi" w:hint="eastAsia"/>
          <w:color w:val="auto"/>
          <w:sz w:val="32"/>
          <w:szCs w:val="32"/>
          <w:lang w:val="en-US"/>
        </w:rPr>
        <w:t>附件</w:t>
      </w:r>
      <w:r>
        <w:rPr>
          <w:rFonts w:ascii="黑体" w:eastAsia="黑体" w:hAnsi="黑体" w:cstheme="minorBidi"/>
          <w:color w:val="auto"/>
          <w:sz w:val="32"/>
          <w:szCs w:val="32"/>
          <w:lang w:val="en-US"/>
        </w:rPr>
        <w:t>2</w:t>
      </w:r>
      <w:r>
        <w:rPr>
          <w:rFonts w:ascii="黑体" w:eastAsia="黑体" w:hAnsi="黑体" w:cstheme="minorBidi" w:hint="eastAsia"/>
          <w:color w:val="auto"/>
          <w:sz w:val="32"/>
          <w:szCs w:val="32"/>
          <w:lang w:val="en-US"/>
        </w:rPr>
        <w:t>、</w:t>
      </w:r>
      <w:r>
        <w:rPr>
          <w:rFonts w:ascii="黑体" w:eastAsia="黑体" w:hAnsi="黑体" w:cstheme="minorBidi"/>
          <w:color w:val="auto"/>
          <w:sz w:val="32"/>
          <w:szCs w:val="32"/>
          <w:lang w:val="en-US"/>
        </w:rPr>
        <w:t>述职报告模板</w:t>
      </w:r>
      <w:r>
        <w:rPr>
          <w:rFonts w:ascii="黑体" w:eastAsia="黑体" w:hAnsi="黑体" w:cstheme="minorBidi" w:hint="eastAsia"/>
          <w:color w:val="auto"/>
          <w:sz w:val="32"/>
          <w:szCs w:val="32"/>
          <w:lang w:val="en-US"/>
        </w:rPr>
        <w:t>（本述职报告为通用模板，如被审计领导干部不分管或不涉及的话，部分内容可不描述或适当进行修改）</w:t>
      </w:r>
    </w:p>
    <w:p w14:paraId="51B32C22" w14:textId="30B0C4B6" w:rsidR="000C2B94" w:rsidRPr="002C6C0F" w:rsidRDefault="000C2B94" w:rsidP="002C6C0F">
      <w:pPr>
        <w:adjustRightInd w:val="0"/>
        <w:snapToGrid w:val="0"/>
        <w:spacing w:line="540" w:lineRule="exact"/>
        <w:ind w:left="23" w:firstLineChars="100" w:firstLine="280"/>
        <w:jc w:val="both"/>
        <w:outlineLvl w:val="0"/>
        <w:rPr>
          <w:rFonts w:ascii="黑体" w:eastAsia="黑体" w:hAnsi="黑体" w:cstheme="minorBidi"/>
          <w:color w:val="auto"/>
          <w:sz w:val="32"/>
          <w:szCs w:val="32"/>
          <w:lang w:val="en-US"/>
        </w:rPr>
      </w:pPr>
      <w:r>
        <w:rPr>
          <w:rFonts w:ascii="黑体" w:eastAsia="黑体" w:hAnsi="黑体" w:cs="黑体"/>
          <w:sz w:val="28"/>
        </w:rPr>
        <w:t>一、基本情况</w:t>
      </w:r>
    </w:p>
    <w:p w14:paraId="61B0EC17" w14:textId="77777777" w:rsidR="000C2B94" w:rsidRDefault="000C2B94" w:rsidP="002C6C0F">
      <w:pPr>
        <w:pStyle w:val="a7"/>
        <w:numPr>
          <w:ilvl w:val="0"/>
          <w:numId w:val="1"/>
        </w:numPr>
        <w:spacing w:line="540" w:lineRule="exact"/>
        <w:ind w:firstLineChars="0"/>
        <w:rPr>
          <w:rFonts w:ascii="Times New Roman" w:eastAsia="仿宋_GB2312" w:hAnsi="Times New Roman"/>
          <w:color w:val="auto"/>
          <w:kern w:val="2"/>
          <w:sz w:val="32"/>
          <w:szCs w:val="32"/>
          <w:lang w:val="en-US"/>
        </w:rPr>
      </w:pPr>
      <w:r>
        <w:rPr>
          <w:rFonts w:ascii="Times New Roman" w:eastAsia="仿宋_GB2312" w:hAnsi="Times New Roman" w:hint="eastAsia"/>
          <w:color w:val="auto"/>
          <w:kern w:val="2"/>
          <w:sz w:val="32"/>
          <w:szCs w:val="32"/>
          <w:lang w:val="en-US"/>
        </w:rPr>
        <w:t>单位基本情况</w:t>
      </w:r>
    </w:p>
    <w:p w14:paraId="5B5E2318" w14:textId="77777777" w:rsidR="000C2B94" w:rsidRDefault="000C2B94" w:rsidP="002C6C0F">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45752968"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hint="eastAsia"/>
          <w:color w:val="auto"/>
          <w:kern w:val="2"/>
          <w:sz w:val="32"/>
          <w:szCs w:val="32"/>
          <w:lang w:val="en-US"/>
        </w:rPr>
        <w:t>说明：本部分主要反映单位概况、职能、机构</w:t>
      </w:r>
      <w:r>
        <w:rPr>
          <w:rFonts w:ascii="Times New Roman" w:eastAsia="仿宋_GB2312" w:hAnsi="Times New Roman"/>
          <w:color w:val="auto"/>
          <w:kern w:val="2"/>
          <w:sz w:val="32"/>
          <w:szCs w:val="32"/>
          <w:lang w:val="en-US"/>
        </w:rPr>
        <w:t>设置</w:t>
      </w:r>
      <w:r>
        <w:rPr>
          <w:rFonts w:ascii="Times New Roman" w:eastAsia="仿宋_GB2312" w:hAnsi="Times New Roman" w:hint="eastAsia"/>
          <w:color w:val="auto"/>
          <w:kern w:val="2"/>
          <w:sz w:val="32"/>
          <w:szCs w:val="32"/>
          <w:lang w:val="en-US"/>
        </w:rPr>
        <w:t>；单位人数、领导班子人数、人员</w:t>
      </w:r>
      <w:r>
        <w:rPr>
          <w:rFonts w:ascii="Times New Roman" w:eastAsia="仿宋_GB2312" w:hAnsi="Times New Roman"/>
          <w:color w:val="auto"/>
          <w:kern w:val="2"/>
          <w:sz w:val="32"/>
          <w:szCs w:val="32"/>
          <w:lang w:val="en-US"/>
        </w:rPr>
        <w:t>结构</w:t>
      </w:r>
      <w:r>
        <w:rPr>
          <w:rFonts w:ascii="Times New Roman" w:eastAsia="仿宋_GB2312" w:hAnsi="Times New Roman" w:hint="eastAsia"/>
          <w:color w:val="auto"/>
          <w:kern w:val="2"/>
          <w:sz w:val="32"/>
          <w:szCs w:val="32"/>
          <w:lang w:val="en-US"/>
        </w:rPr>
        <w:t>；以及各类管理信息化系统建设与应用情况</w:t>
      </w:r>
      <w:r>
        <w:rPr>
          <w:rFonts w:ascii="仿宋_GB2312" w:eastAsia="仿宋_GB2312" w:hAnsi="仿宋" w:hint="eastAsia"/>
          <w:sz w:val="32"/>
          <w:szCs w:val="32"/>
        </w:rPr>
        <w:t>〕</w:t>
      </w:r>
      <w:r>
        <w:rPr>
          <w:rFonts w:ascii="Times New Roman" w:eastAsia="仿宋_GB2312" w:hAnsi="Times New Roman" w:hint="eastAsia"/>
          <w:color w:val="auto"/>
          <w:kern w:val="2"/>
          <w:sz w:val="32"/>
          <w:szCs w:val="32"/>
          <w:lang w:val="en-US"/>
        </w:rPr>
        <w:t>。</w:t>
      </w:r>
    </w:p>
    <w:p w14:paraId="3AC264E1" w14:textId="77777777" w:rsidR="000C2B94" w:rsidRDefault="000C2B94" w:rsidP="000C2B94">
      <w:pPr>
        <w:pStyle w:val="a7"/>
        <w:numPr>
          <w:ilvl w:val="0"/>
          <w:numId w:val="1"/>
        </w:numPr>
        <w:spacing w:line="580" w:lineRule="exact"/>
        <w:ind w:firstLineChars="0"/>
        <w:rPr>
          <w:rFonts w:ascii="Times New Roman" w:eastAsia="仿宋_GB2312" w:hAnsi="Times New Roman"/>
          <w:color w:val="auto"/>
          <w:kern w:val="2"/>
          <w:sz w:val="32"/>
          <w:szCs w:val="32"/>
          <w:lang w:val="en-US"/>
        </w:rPr>
      </w:pPr>
      <w:r>
        <w:rPr>
          <w:rFonts w:ascii="Times New Roman" w:eastAsia="仿宋_GB2312" w:hAnsi="Times New Roman" w:hint="eastAsia"/>
          <w:color w:val="auto"/>
          <w:kern w:val="2"/>
          <w:sz w:val="32"/>
          <w:szCs w:val="32"/>
          <w:lang w:val="en-US"/>
        </w:rPr>
        <w:t>被审计人基本情况</w:t>
      </w:r>
    </w:p>
    <w:p w14:paraId="4EA4ED5F"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283322FD" w14:textId="77777777" w:rsidR="000C2B94" w:rsidRDefault="000C2B94" w:rsidP="000C2B94">
      <w:pPr>
        <w:adjustRightInd w:val="0"/>
        <w:snapToGrid w:val="0"/>
        <w:spacing w:line="540" w:lineRule="exact"/>
        <w:ind w:firstLine="630"/>
        <w:rPr>
          <w:rFonts w:ascii="仿宋_GB2312" w:eastAsia="仿宋_GB2312" w:hAnsi="仿宋"/>
          <w:sz w:val="32"/>
          <w:szCs w:val="32"/>
        </w:rPr>
      </w:pPr>
      <w:r>
        <w:rPr>
          <w:rFonts w:ascii="Times New Roman" w:eastAsia="仿宋_GB2312" w:hAnsi="Times New Roman"/>
          <w:color w:val="auto"/>
          <w:kern w:val="2"/>
          <w:sz w:val="32"/>
          <w:szCs w:val="32"/>
          <w:lang w:val="en-US"/>
        </w:rPr>
        <w:t>〔说明：本部分主要反映被审计领导干部任职期限、职责范围和分管的工作</w:t>
      </w:r>
      <w:r>
        <w:rPr>
          <w:rFonts w:ascii="Times New Roman" w:eastAsia="仿宋_GB2312" w:hAnsi="Times New Roman" w:hint="eastAsia"/>
          <w:color w:val="auto"/>
          <w:kern w:val="2"/>
          <w:sz w:val="32"/>
          <w:szCs w:val="32"/>
          <w:lang w:val="en-US"/>
        </w:rPr>
        <w:t>，</w:t>
      </w:r>
      <w:r>
        <w:rPr>
          <w:rFonts w:ascii="仿宋_GB2312" w:eastAsia="仿宋_GB2312" w:hAnsi="仿宋" w:hint="eastAsia"/>
          <w:sz w:val="32"/>
          <w:szCs w:val="32"/>
        </w:rPr>
        <w:t>接任、离任双方责任交接等情况〕。</w:t>
      </w:r>
    </w:p>
    <w:p w14:paraId="32BDEC94" w14:textId="246B8F45" w:rsidR="000C2B94" w:rsidRDefault="000C2B94" w:rsidP="002C6C0F">
      <w:pPr>
        <w:pStyle w:val="a7"/>
        <w:numPr>
          <w:ilvl w:val="0"/>
          <w:numId w:val="1"/>
        </w:numPr>
        <w:spacing w:line="580" w:lineRule="exact"/>
        <w:ind w:firstLineChars="0"/>
        <w:rPr>
          <w:rFonts w:ascii="Times New Roman" w:eastAsia="仿宋_GB2312" w:hAnsi="Times New Roman"/>
          <w:color w:val="auto"/>
          <w:kern w:val="2"/>
          <w:sz w:val="32"/>
          <w:szCs w:val="32"/>
          <w:lang w:val="en-US"/>
        </w:rPr>
      </w:pPr>
      <w:r>
        <w:rPr>
          <w:rFonts w:ascii="Times New Roman" w:eastAsia="仿宋_GB2312" w:hAnsi="Times New Roman" w:hint="eastAsia"/>
          <w:color w:val="auto"/>
          <w:kern w:val="2"/>
          <w:sz w:val="32"/>
          <w:szCs w:val="32"/>
          <w:lang w:val="en-US"/>
        </w:rPr>
        <w:t>财务收支情况</w:t>
      </w:r>
    </w:p>
    <w:p w14:paraId="4EC4CAC1" w14:textId="77777777" w:rsidR="002C6C0F" w:rsidRPr="002C6C0F" w:rsidRDefault="002C6C0F" w:rsidP="002C6C0F">
      <w:pPr>
        <w:adjustRightInd w:val="0"/>
        <w:snapToGrid w:val="0"/>
        <w:spacing w:line="540" w:lineRule="exact"/>
        <w:ind w:left="640"/>
        <w:rPr>
          <w:rFonts w:ascii="Times New Roman" w:eastAsia="仿宋_GB2312" w:hAnsi="Times New Roman"/>
          <w:color w:val="auto"/>
          <w:kern w:val="2"/>
          <w:sz w:val="32"/>
          <w:szCs w:val="32"/>
          <w:lang w:val="en-US"/>
        </w:rPr>
      </w:pPr>
      <w:r w:rsidRPr="002C6C0F">
        <w:rPr>
          <w:rFonts w:ascii="Times New Roman" w:eastAsia="仿宋_GB2312" w:hAnsi="Times New Roman"/>
          <w:color w:val="auto"/>
          <w:kern w:val="2"/>
          <w:sz w:val="32"/>
          <w:szCs w:val="32"/>
          <w:lang w:val="en-US"/>
        </w:rPr>
        <w:t>*******************</w:t>
      </w:r>
      <w:r w:rsidRPr="002C6C0F">
        <w:rPr>
          <w:rFonts w:ascii="Times New Roman" w:eastAsia="仿宋_GB2312" w:hAnsi="Times New Roman"/>
          <w:color w:val="auto"/>
          <w:kern w:val="2"/>
          <w:sz w:val="32"/>
          <w:szCs w:val="32"/>
          <w:lang w:val="en-US"/>
        </w:rPr>
        <w:t>。</w:t>
      </w:r>
    </w:p>
    <w:p w14:paraId="3B29C6E7" w14:textId="77777777" w:rsidR="000C2B94" w:rsidRDefault="000C2B94" w:rsidP="000C2B94">
      <w:pPr>
        <w:adjustRightInd w:val="0"/>
        <w:snapToGrid w:val="0"/>
        <w:spacing w:line="540" w:lineRule="exact"/>
        <w:ind w:firstLine="630"/>
        <w:rPr>
          <w:rFonts w:ascii="仿宋_GB2312" w:eastAsia="仿宋_GB2312" w:hAnsi="仿宋"/>
          <w:sz w:val="32"/>
          <w:szCs w:val="32"/>
        </w:rPr>
      </w:pPr>
      <w:r>
        <w:rPr>
          <w:rFonts w:ascii="Times New Roman" w:eastAsia="仿宋_GB2312" w:hAnsi="Times New Roman"/>
          <w:color w:val="auto"/>
          <w:kern w:val="2"/>
          <w:sz w:val="32"/>
          <w:szCs w:val="32"/>
          <w:lang w:val="en-US"/>
        </w:rPr>
        <w:t>〔</w:t>
      </w:r>
      <w:r>
        <w:rPr>
          <w:rFonts w:ascii="Times New Roman" w:eastAsia="仿宋_GB2312" w:hAnsi="Times New Roman" w:hint="eastAsia"/>
          <w:color w:val="auto"/>
          <w:kern w:val="2"/>
          <w:sz w:val="32"/>
          <w:szCs w:val="32"/>
          <w:lang w:val="en-US"/>
        </w:rPr>
        <w:t>说明：本部分主要反映单位财务管理模式；任期内被审计单位相关收入、支出与结余情况，以及与被审计人相关经费收入、支出与结余情况</w:t>
      </w:r>
      <w:r>
        <w:rPr>
          <w:rFonts w:ascii="仿宋_GB2312" w:eastAsia="仿宋_GB2312" w:hAnsi="仿宋" w:hint="eastAsia"/>
          <w:sz w:val="32"/>
          <w:szCs w:val="32"/>
        </w:rPr>
        <w:t>〕</w:t>
      </w:r>
    </w:p>
    <w:p w14:paraId="4CC05D4A" w14:textId="77777777" w:rsidR="000C2B94" w:rsidRDefault="000C2B94" w:rsidP="000C2B94">
      <w:pPr>
        <w:pStyle w:val="a7"/>
        <w:numPr>
          <w:ilvl w:val="0"/>
          <w:numId w:val="1"/>
        </w:numPr>
        <w:spacing w:line="580" w:lineRule="exact"/>
        <w:ind w:firstLineChars="0"/>
        <w:rPr>
          <w:rFonts w:ascii="Times New Roman" w:eastAsia="仿宋_GB2312" w:hAnsi="Times New Roman"/>
          <w:color w:val="auto"/>
          <w:kern w:val="2"/>
          <w:sz w:val="32"/>
          <w:szCs w:val="32"/>
          <w:lang w:val="en-US"/>
        </w:rPr>
      </w:pPr>
      <w:r>
        <w:rPr>
          <w:rFonts w:ascii="Times New Roman" w:eastAsia="仿宋_GB2312" w:hAnsi="Times New Roman" w:hint="eastAsia"/>
          <w:color w:val="auto"/>
          <w:kern w:val="2"/>
          <w:sz w:val="32"/>
          <w:szCs w:val="32"/>
          <w:lang w:val="en-US"/>
        </w:rPr>
        <w:t>资产管理情况</w:t>
      </w:r>
    </w:p>
    <w:p w14:paraId="0AC7C3C4"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2CADEE8D"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hint="eastAsia"/>
          <w:color w:val="auto"/>
          <w:kern w:val="2"/>
          <w:sz w:val="32"/>
          <w:szCs w:val="32"/>
          <w:lang w:val="en-US"/>
        </w:rPr>
        <w:t>说明：本部分主要反映任期末被审计单位资产占用情况，以及任期内资产增减变化情况〕</w:t>
      </w:r>
    </w:p>
    <w:p w14:paraId="27A5617A" w14:textId="77777777" w:rsidR="000C2B94" w:rsidRDefault="000C2B94" w:rsidP="000C2B94">
      <w:pPr>
        <w:spacing w:after="188" w:line="259" w:lineRule="auto"/>
        <w:ind w:left="567" w:hanging="1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0E995F63" w14:textId="77777777" w:rsidR="000C2B94" w:rsidRDefault="000C2B94" w:rsidP="000C2B94">
      <w:pPr>
        <w:spacing w:after="188" w:line="259" w:lineRule="auto"/>
        <w:ind w:left="567" w:hanging="10"/>
        <w:rPr>
          <w:rFonts w:ascii="黑体" w:eastAsia="黑体" w:hAnsi="黑体" w:cs="黑体"/>
          <w:sz w:val="28"/>
        </w:rPr>
      </w:pPr>
      <w:r>
        <w:rPr>
          <w:rFonts w:ascii="黑体" w:eastAsia="黑体" w:hAnsi="黑体" w:cs="黑体"/>
          <w:sz w:val="28"/>
        </w:rPr>
        <w:t>二、</w:t>
      </w:r>
      <w:r>
        <w:rPr>
          <w:rFonts w:ascii="黑体" w:eastAsia="黑体" w:hAnsi="黑体" w:cs="黑体" w:hint="eastAsia"/>
          <w:sz w:val="28"/>
        </w:rPr>
        <w:t>任职期间履行经济责任情况</w:t>
      </w:r>
    </w:p>
    <w:p w14:paraId="2CED192E"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lastRenderedPageBreak/>
        <w:t>*******************</w:t>
      </w:r>
      <w:r>
        <w:rPr>
          <w:rFonts w:ascii="Times New Roman" w:eastAsia="仿宋_GB2312" w:hAnsi="Times New Roman"/>
          <w:color w:val="auto"/>
          <w:kern w:val="2"/>
          <w:sz w:val="32"/>
          <w:szCs w:val="32"/>
          <w:lang w:val="en-US"/>
        </w:rPr>
        <w:t>。</w:t>
      </w:r>
    </w:p>
    <w:p w14:paraId="1EEBC6BD"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〔说明：本部分主要</w:t>
      </w:r>
      <w:r>
        <w:rPr>
          <w:rFonts w:ascii="Times New Roman" w:eastAsia="仿宋_GB2312" w:hAnsi="Times New Roman" w:hint="eastAsia"/>
          <w:color w:val="auto"/>
          <w:kern w:val="2"/>
          <w:sz w:val="32"/>
          <w:szCs w:val="32"/>
          <w:lang w:val="en-US"/>
        </w:rPr>
        <w:t>反映任职期间被审计领导干部围绕经济责任所开展的相关工作情况〕</w:t>
      </w:r>
    </w:p>
    <w:p w14:paraId="56341002"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（一）</w:t>
      </w:r>
      <w:r>
        <w:rPr>
          <w:rFonts w:ascii="Times New Roman" w:eastAsia="仿宋_GB2312" w:hAnsi="Times New Roman"/>
          <w:color w:val="auto"/>
          <w:kern w:val="2"/>
          <w:sz w:val="32"/>
          <w:szCs w:val="32"/>
          <w:lang w:val="en-US"/>
        </w:rPr>
        <w:t>贯彻执行党和国家</w:t>
      </w:r>
      <w:r>
        <w:rPr>
          <w:rFonts w:ascii="Times New Roman" w:eastAsia="仿宋_GB2312" w:hAnsi="Times New Roman" w:hint="eastAsia"/>
          <w:color w:val="auto"/>
          <w:kern w:val="2"/>
          <w:sz w:val="32"/>
          <w:szCs w:val="32"/>
          <w:lang w:val="en-US"/>
        </w:rPr>
        <w:t>及学校</w:t>
      </w:r>
      <w:r>
        <w:rPr>
          <w:rFonts w:ascii="Times New Roman" w:eastAsia="仿宋_GB2312" w:hAnsi="Times New Roman"/>
          <w:color w:val="auto"/>
          <w:kern w:val="2"/>
          <w:sz w:val="32"/>
          <w:szCs w:val="32"/>
          <w:lang w:val="en-US"/>
        </w:rPr>
        <w:t>有关经济方针政策和决策部署情况</w:t>
      </w:r>
    </w:p>
    <w:p w14:paraId="26570448"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（二）</w:t>
      </w:r>
      <w:r>
        <w:rPr>
          <w:rFonts w:ascii="Times New Roman" w:eastAsia="仿宋_GB2312" w:hAnsi="Times New Roman"/>
          <w:color w:val="auto"/>
          <w:kern w:val="2"/>
          <w:sz w:val="32"/>
          <w:szCs w:val="32"/>
          <w:lang w:val="en-US"/>
        </w:rPr>
        <w:t>任期内重大经济决策事项、决策过程及其执行效果</w:t>
      </w:r>
    </w:p>
    <w:p w14:paraId="734BF2AE"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（三）</w:t>
      </w:r>
      <w:r>
        <w:rPr>
          <w:rFonts w:ascii="Times New Roman" w:eastAsia="仿宋_GB2312" w:hAnsi="Times New Roman"/>
          <w:color w:val="auto"/>
          <w:kern w:val="2"/>
          <w:sz w:val="32"/>
          <w:szCs w:val="32"/>
          <w:lang w:val="en-US"/>
        </w:rPr>
        <w:t>任期内各项工作任务目标完成情况</w:t>
      </w:r>
    </w:p>
    <w:p w14:paraId="43A9E3B7" w14:textId="77777777" w:rsidR="000C2B94" w:rsidRDefault="000C2B94" w:rsidP="000C2B94">
      <w:pPr>
        <w:adjustRightInd w:val="0"/>
        <w:snapToGrid w:val="0"/>
        <w:spacing w:line="540" w:lineRule="exact"/>
        <w:ind w:firstLine="63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（四）</w:t>
      </w:r>
      <w:r>
        <w:rPr>
          <w:rFonts w:ascii="Times New Roman" w:eastAsia="仿宋_GB2312" w:hAnsi="Times New Roman"/>
          <w:color w:val="auto"/>
          <w:kern w:val="2"/>
          <w:sz w:val="32"/>
          <w:szCs w:val="32"/>
          <w:lang w:val="en-US"/>
        </w:rPr>
        <w:t>重要规章制度及内部控制制度的制定、完善和执行情况</w:t>
      </w:r>
    </w:p>
    <w:p w14:paraId="6791A989" w14:textId="77777777" w:rsidR="000C2B94" w:rsidRDefault="000C2B94" w:rsidP="000C2B94">
      <w:pPr>
        <w:pStyle w:val="a7"/>
        <w:spacing w:line="580" w:lineRule="exact"/>
        <w:ind w:left="640" w:firstLineChars="0" w:firstLine="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（五）</w:t>
      </w:r>
      <w:r>
        <w:rPr>
          <w:rFonts w:ascii="Times New Roman" w:eastAsia="仿宋_GB2312" w:hAnsi="Times New Roman" w:hint="eastAsia"/>
          <w:color w:val="auto"/>
          <w:kern w:val="2"/>
          <w:sz w:val="32"/>
          <w:szCs w:val="32"/>
          <w:lang w:val="en-US"/>
        </w:rPr>
        <w:t>财政财务管理和经济风险防范情况</w:t>
      </w:r>
    </w:p>
    <w:p w14:paraId="5A21E69A" w14:textId="77777777" w:rsidR="000C2B94" w:rsidRDefault="000C2B94" w:rsidP="000C2B94">
      <w:pPr>
        <w:pStyle w:val="a7"/>
        <w:spacing w:line="580" w:lineRule="exact"/>
        <w:ind w:left="640" w:firstLineChars="0" w:firstLine="0"/>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（六）</w:t>
      </w:r>
      <w:r>
        <w:rPr>
          <w:rFonts w:ascii="Times New Roman" w:eastAsia="仿宋_GB2312" w:hAnsi="Times New Roman" w:hint="eastAsia"/>
          <w:color w:val="auto"/>
          <w:kern w:val="2"/>
          <w:sz w:val="32"/>
          <w:szCs w:val="32"/>
          <w:lang w:val="en-US"/>
        </w:rPr>
        <w:t>国有资产管理及离任时固定资产的移交情况</w:t>
      </w:r>
    </w:p>
    <w:p w14:paraId="6198891F" w14:textId="77777777" w:rsidR="000C2B94" w:rsidRDefault="000C2B94" w:rsidP="000C2B94">
      <w:pPr>
        <w:pStyle w:val="a7"/>
        <w:spacing w:after="3" w:line="580" w:lineRule="exact"/>
        <w:ind w:left="-2" w:firstLine="643"/>
        <w:rPr>
          <w:rFonts w:ascii="Times New Roman" w:eastAsia="仿宋_GB2312" w:hAnsi="Times New Roman"/>
          <w:color w:val="auto"/>
          <w:kern w:val="2"/>
          <w:sz w:val="32"/>
          <w:szCs w:val="32"/>
          <w:lang w:val="en-US"/>
        </w:rPr>
      </w:pPr>
      <w:r>
        <w:rPr>
          <w:rFonts w:ascii="Times New Roman" w:eastAsia="仿宋_GB2312" w:hAnsi="Times New Roman" w:hint="eastAsia"/>
          <w:b/>
          <w:bCs/>
          <w:color w:val="auto"/>
          <w:kern w:val="2"/>
          <w:sz w:val="32"/>
          <w:szCs w:val="32"/>
          <w:lang w:val="en-US"/>
        </w:rPr>
        <w:t>（七）</w:t>
      </w:r>
      <w:r>
        <w:rPr>
          <w:rFonts w:ascii="Times New Roman" w:eastAsia="仿宋_GB2312" w:hAnsi="Times New Roman"/>
          <w:color w:val="auto"/>
          <w:kern w:val="2"/>
          <w:sz w:val="32"/>
          <w:szCs w:val="32"/>
          <w:lang w:val="en-US"/>
        </w:rPr>
        <w:t>任职前和任期内重大经济遗留问题及其处理情况</w:t>
      </w:r>
    </w:p>
    <w:p w14:paraId="33D148AC" w14:textId="77777777" w:rsidR="000C2B94" w:rsidRDefault="000C2B94" w:rsidP="000C2B94">
      <w:pPr>
        <w:spacing w:after="188" w:line="259" w:lineRule="auto"/>
        <w:ind w:left="567" w:hanging="10"/>
        <w:rPr>
          <w:rFonts w:ascii="黑体" w:eastAsia="黑体" w:hAnsi="黑体" w:cs="黑体"/>
          <w:sz w:val="28"/>
        </w:rPr>
      </w:pPr>
      <w:r>
        <w:rPr>
          <w:rFonts w:ascii="黑体" w:eastAsia="黑体" w:hAnsi="黑体" w:cs="黑体" w:hint="eastAsia"/>
          <w:sz w:val="28"/>
        </w:rPr>
        <w:t>三、</w:t>
      </w:r>
      <w:r>
        <w:rPr>
          <w:rFonts w:ascii="黑体" w:eastAsia="黑体" w:hAnsi="黑体" w:cs="黑体"/>
          <w:sz w:val="28"/>
        </w:rPr>
        <w:t>党风廉政建设情况</w:t>
      </w:r>
    </w:p>
    <w:p w14:paraId="7EDDC33A"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1C97729F"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〔说明：包括任期内履行推动所在单位党风廉政建设职责和个人遵守廉洁从业规定的情况。〕</w:t>
      </w:r>
    </w:p>
    <w:p w14:paraId="7914FCA0" w14:textId="71E3345A" w:rsidR="000C2B94" w:rsidRDefault="000C2B94" w:rsidP="009C5519">
      <w:pPr>
        <w:pStyle w:val="a7"/>
        <w:numPr>
          <w:ilvl w:val="0"/>
          <w:numId w:val="3"/>
        </w:numPr>
        <w:spacing w:after="188" w:line="259" w:lineRule="auto"/>
        <w:ind w:firstLineChars="0"/>
      </w:pPr>
      <w:r w:rsidRPr="009C5519">
        <w:rPr>
          <w:rFonts w:ascii="黑体" w:eastAsia="黑体" w:hAnsi="黑体" w:cs="黑体"/>
          <w:sz w:val="28"/>
        </w:rPr>
        <w:t>存在的不足和需要改进的方面</w:t>
      </w:r>
    </w:p>
    <w:p w14:paraId="352C6F2D"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04B1DE4E" w14:textId="3D289716" w:rsidR="000C2B94" w:rsidRDefault="000C2B94" w:rsidP="009C5519">
      <w:pPr>
        <w:pStyle w:val="a7"/>
        <w:numPr>
          <w:ilvl w:val="0"/>
          <w:numId w:val="3"/>
        </w:numPr>
        <w:spacing w:after="188" w:line="259" w:lineRule="auto"/>
        <w:ind w:firstLineChars="0"/>
      </w:pPr>
      <w:r w:rsidRPr="009C5519">
        <w:rPr>
          <w:rFonts w:ascii="黑体" w:eastAsia="黑体" w:hAnsi="黑体" w:cs="黑体"/>
          <w:sz w:val="28"/>
        </w:rPr>
        <w:t>其他需要说明的情况</w:t>
      </w:r>
      <w:r w:rsidRPr="009C5519">
        <w:rPr>
          <w:rFonts w:ascii="黑体" w:eastAsia="黑体" w:hAnsi="黑体" w:cs="黑体" w:hint="eastAsia"/>
          <w:sz w:val="28"/>
        </w:rPr>
        <w:t>与建议</w:t>
      </w:r>
    </w:p>
    <w:p w14:paraId="36A9F85B" w14:textId="77777777" w:rsidR="000C2B94" w:rsidRDefault="000C2B94" w:rsidP="000C2B94">
      <w:pPr>
        <w:spacing w:line="580" w:lineRule="exact"/>
        <w:ind w:firstLineChars="200" w:firstLine="640"/>
        <w:rPr>
          <w:rFonts w:ascii="Times New Roman" w:eastAsia="仿宋_GB2312" w:hAnsi="Times New Roman"/>
          <w:color w:val="auto"/>
          <w:kern w:val="2"/>
          <w:sz w:val="32"/>
          <w:szCs w:val="32"/>
          <w:lang w:val="en-US"/>
        </w:rPr>
      </w:pPr>
      <w:r>
        <w:rPr>
          <w:rFonts w:ascii="Times New Roman" w:eastAsia="仿宋_GB2312" w:hAnsi="Times New Roman"/>
          <w:color w:val="auto"/>
          <w:kern w:val="2"/>
          <w:sz w:val="32"/>
          <w:szCs w:val="32"/>
          <w:lang w:val="en-US"/>
        </w:rPr>
        <w:t>*******************</w:t>
      </w:r>
      <w:r>
        <w:rPr>
          <w:rFonts w:ascii="Times New Roman" w:eastAsia="仿宋_GB2312" w:hAnsi="Times New Roman"/>
          <w:color w:val="auto"/>
          <w:kern w:val="2"/>
          <w:sz w:val="32"/>
          <w:szCs w:val="32"/>
          <w:lang w:val="en-US"/>
        </w:rPr>
        <w:t>。</w:t>
      </w:r>
    </w:p>
    <w:p w14:paraId="08E84098" w14:textId="77777777" w:rsidR="00904E5A" w:rsidRDefault="00904E5A"/>
    <w:sectPr w:rsidR="00904E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6E0DC" w14:textId="77777777" w:rsidR="00D52C65" w:rsidRDefault="00D52C65" w:rsidP="000C2B94">
      <w:r>
        <w:separator/>
      </w:r>
    </w:p>
  </w:endnote>
  <w:endnote w:type="continuationSeparator" w:id="0">
    <w:p w14:paraId="551BF5A1" w14:textId="77777777" w:rsidR="00D52C65" w:rsidRDefault="00D52C65" w:rsidP="000C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5FC3" w14:textId="77777777" w:rsidR="00D52C65" w:rsidRDefault="00D52C65" w:rsidP="000C2B94">
      <w:r>
        <w:separator/>
      </w:r>
    </w:p>
  </w:footnote>
  <w:footnote w:type="continuationSeparator" w:id="0">
    <w:p w14:paraId="29876FB5" w14:textId="77777777" w:rsidR="00D52C65" w:rsidRDefault="00D52C65" w:rsidP="000C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5104C"/>
    <w:multiLevelType w:val="multilevel"/>
    <w:tmpl w:val="1D95104C"/>
    <w:lvl w:ilvl="0">
      <w:start w:val="1"/>
      <w:numFmt w:val="chineseCountingThousand"/>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345B554E"/>
    <w:multiLevelType w:val="hybridMultilevel"/>
    <w:tmpl w:val="429CE09E"/>
    <w:lvl w:ilvl="0" w:tplc="97121628">
      <w:start w:val="4"/>
      <w:numFmt w:val="japaneseCounting"/>
      <w:lvlText w:val="%1、"/>
      <w:lvlJc w:val="left"/>
      <w:pPr>
        <w:ind w:left="1130" w:hanging="570"/>
      </w:pPr>
      <w:rPr>
        <w:rFonts w:ascii="黑体" w:eastAsia="黑体" w:hAnsi="黑体" w:cs="黑体" w:hint="default"/>
        <w:sz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4A735F2E"/>
    <w:multiLevelType w:val="multilevel"/>
    <w:tmpl w:val="4A735F2E"/>
    <w:lvl w:ilvl="0">
      <w:start w:val="3"/>
      <w:numFmt w:val="ideographDigital"/>
      <w:lvlText w:val="%1、"/>
      <w:lvlJc w:val="left"/>
      <w:pPr>
        <w:ind w:left="1116"/>
      </w:pPr>
      <w:rPr>
        <w:rFonts w:ascii="黑体" w:eastAsia="黑体" w:hAnsi="黑体" w:cs="黑体"/>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271"/>
      </w:pPr>
      <w:rPr>
        <w:rFonts w:ascii="黑体" w:eastAsia="黑体" w:hAnsi="黑体" w:cs="黑体"/>
        <w:b w:val="0"/>
        <w:i w:val="0"/>
        <w:strike w:val="0"/>
        <w:dstrike w:val="0"/>
        <w:color w:val="000000"/>
        <w:sz w:val="28"/>
        <w:szCs w:val="28"/>
        <w:u w:val="none" w:color="000000"/>
        <w:shd w:val="clear" w:color="auto" w:fill="auto"/>
        <w:vertAlign w:val="baseline"/>
      </w:rPr>
    </w:lvl>
    <w:lvl w:ilvl="2">
      <w:start w:val="1"/>
      <w:numFmt w:val="lowerRoman"/>
      <w:lvlText w:val="%3"/>
      <w:lvlJc w:val="left"/>
      <w:pPr>
        <w:ind w:left="1991"/>
      </w:pPr>
      <w:rPr>
        <w:rFonts w:ascii="黑体" w:eastAsia="黑体" w:hAnsi="黑体" w:cs="黑体"/>
        <w:b w:val="0"/>
        <w:i w:val="0"/>
        <w:strike w:val="0"/>
        <w:dstrike w:val="0"/>
        <w:color w:val="000000"/>
        <w:sz w:val="28"/>
        <w:szCs w:val="28"/>
        <w:u w:val="none" w:color="000000"/>
        <w:shd w:val="clear" w:color="auto" w:fill="auto"/>
        <w:vertAlign w:val="baseline"/>
      </w:rPr>
    </w:lvl>
    <w:lvl w:ilvl="3">
      <w:start w:val="1"/>
      <w:numFmt w:val="decimal"/>
      <w:lvlText w:val="%4"/>
      <w:lvlJc w:val="left"/>
      <w:pPr>
        <w:ind w:left="2711"/>
      </w:pPr>
      <w:rPr>
        <w:rFonts w:ascii="黑体" w:eastAsia="黑体" w:hAnsi="黑体" w:cs="黑体"/>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431"/>
      </w:pPr>
      <w:rPr>
        <w:rFonts w:ascii="黑体" w:eastAsia="黑体" w:hAnsi="黑体" w:cs="黑体"/>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151"/>
      </w:pPr>
      <w:rPr>
        <w:rFonts w:ascii="黑体" w:eastAsia="黑体" w:hAnsi="黑体" w:cs="黑体"/>
        <w:b w:val="0"/>
        <w:i w:val="0"/>
        <w:strike w:val="0"/>
        <w:dstrike w:val="0"/>
        <w:color w:val="000000"/>
        <w:sz w:val="28"/>
        <w:szCs w:val="28"/>
        <w:u w:val="none" w:color="000000"/>
        <w:shd w:val="clear" w:color="auto" w:fill="auto"/>
        <w:vertAlign w:val="baseline"/>
      </w:rPr>
    </w:lvl>
    <w:lvl w:ilvl="6">
      <w:start w:val="1"/>
      <w:numFmt w:val="decimal"/>
      <w:lvlText w:val="%7"/>
      <w:lvlJc w:val="left"/>
      <w:pPr>
        <w:ind w:left="4871"/>
      </w:pPr>
      <w:rPr>
        <w:rFonts w:ascii="黑体" w:eastAsia="黑体" w:hAnsi="黑体" w:cs="黑体"/>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591"/>
      </w:pPr>
      <w:rPr>
        <w:rFonts w:ascii="黑体" w:eastAsia="黑体" w:hAnsi="黑体" w:cs="黑体"/>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311"/>
      </w:pPr>
      <w:rPr>
        <w:rFonts w:ascii="黑体" w:eastAsia="黑体" w:hAnsi="黑体" w:cs="黑体"/>
        <w:b w:val="0"/>
        <w:i w:val="0"/>
        <w:strike w:val="0"/>
        <w:dstrike w:val="0"/>
        <w:color w:val="000000"/>
        <w:sz w:val="28"/>
        <w:szCs w:val="28"/>
        <w:u w:val="none" w:color="000000"/>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7B"/>
    <w:rsid w:val="00026E7B"/>
    <w:rsid w:val="000C2B94"/>
    <w:rsid w:val="002C6C0F"/>
    <w:rsid w:val="00581DB3"/>
    <w:rsid w:val="00904E5A"/>
    <w:rsid w:val="009C5519"/>
    <w:rsid w:val="00D52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3FD4D"/>
  <w15:chartTrackingRefBased/>
  <w15:docId w15:val="{CE5F1443-92B0-425E-8F40-50E65992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B94"/>
    <w:pPr>
      <w:widowControl w:val="0"/>
    </w:pPr>
    <w:rPr>
      <w:rFonts w:ascii="宋体" w:eastAsia="宋体" w:hAnsi="宋体" w:cs="Times New Roman"/>
      <w:color w:val="000000"/>
      <w:kern w:val="0"/>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B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2B94"/>
    <w:rPr>
      <w:sz w:val="18"/>
      <w:szCs w:val="18"/>
    </w:rPr>
  </w:style>
  <w:style w:type="paragraph" w:styleId="a5">
    <w:name w:val="footer"/>
    <w:basedOn w:val="a"/>
    <w:link w:val="a6"/>
    <w:uiPriority w:val="99"/>
    <w:unhideWhenUsed/>
    <w:rsid w:val="000C2B94"/>
    <w:pPr>
      <w:tabs>
        <w:tab w:val="center" w:pos="4153"/>
        <w:tab w:val="right" w:pos="8306"/>
      </w:tabs>
      <w:snapToGrid w:val="0"/>
    </w:pPr>
    <w:rPr>
      <w:sz w:val="18"/>
      <w:szCs w:val="18"/>
    </w:rPr>
  </w:style>
  <w:style w:type="character" w:customStyle="1" w:styleId="a6">
    <w:name w:val="页脚 字符"/>
    <w:basedOn w:val="a0"/>
    <w:link w:val="a5"/>
    <w:uiPriority w:val="99"/>
    <w:rsid w:val="000C2B94"/>
    <w:rPr>
      <w:sz w:val="18"/>
      <w:szCs w:val="18"/>
    </w:rPr>
  </w:style>
  <w:style w:type="paragraph" w:styleId="a7">
    <w:name w:val="List Paragraph"/>
    <w:basedOn w:val="a"/>
    <w:link w:val="a8"/>
    <w:uiPriority w:val="34"/>
    <w:qFormat/>
    <w:rsid w:val="000C2B94"/>
    <w:pPr>
      <w:ind w:firstLineChars="200" w:firstLine="420"/>
    </w:pPr>
  </w:style>
  <w:style w:type="character" w:customStyle="1" w:styleId="a8">
    <w:name w:val="列表段落 字符"/>
    <w:link w:val="a7"/>
    <w:uiPriority w:val="34"/>
    <w:qFormat/>
    <w:rsid w:val="000C2B94"/>
    <w:rPr>
      <w:rFonts w:ascii="宋体" w:eastAsia="宋体" w:hAnsi="宋体" w:cs="Times New Roman"/>
      <w:color w:val="000000"/>
      <w:kern w:val="0"/>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2023-09-12T07:15:00Z</dcterms:created>
  <dcterms:modified xsi:type="dcterms:W3CDTF">2023-09-13T02:13:00Z</dcterms:modified>
</cp:coreProperties>
</file>